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false"/>
        <w:pBdr/>
        <w:spacing/>
        <w:ind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СОГЛ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lang w:eastAsia="ru-RU"/>
        </w:rPr>
        <w:t xml:space="preserve">АСИЕ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на обработку персональных данных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г. Липецк   </w:t>
      </w:r>
      <w:r>
        <w:rPr>
          <w:rFonts w:ascii="Times New Roman" w:hAnsi="Times New Roman" w:eastAsia="Times New Roman" w:cs="Times New Roman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</w:t>
      </w:r>
      <w:r>
        <w:rPr>
          <w:rFonts w:ascii="Times New Roman" w:hAnsi="Times New Roman" w:eastAsia="Times New Roman" w:cs="Times New Roman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lang w:eastAsia="ru-RU"/>
        </w:rPr>
        <w:t xml:space="preserve">___»______________20__г.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Я,_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___________________________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________________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зарегистрированный по адресу: _______________________; документ, удостоверяющий личность: _____________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___, выдан «____»_____________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г. _______________________________________________, номер телефона______________________, электронная почта _____________________________________,</w:t>
      </w:r>
      <w:r>
        <w:rPr>
          <w:rFonts w:ascii="Times New Roman" w:hAnsi="Times New Roman" w:eastAsia="Times New Roman" w:cs="Times New Roman"/>
          <w:color w:val="000000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даю добровольное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согласие Оператору персональных данных - </w:t>
      </w:r>
      <w:r>
        <w:rPr>
          <w:rFonts w:ascii="Times New Roman" w:hAnsi="Times New Roman" w:eastAsia="Calibri" w:cs="Times New Roman"/>
          <w:lang w:eastAsia="ru-RU"/>
        </w:rPr>
      </w:r>
      <w:r>
        <w:rPr>
          <w:rFonts w:ascii="Times New Roman" w:hAnsi="Times New Roman" w:eastAsia="Times New Roman" w:cs="Times New Roman"/>
        </w:rPr>
        <w:t xml:space="preserve">Автономной некоммерческой организации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дополнительного профессионального образования </w:t>
      </w:r>
      <w:r>
        <w:rPr>
          <w:rFonts w:ascii="Times New Roman" w:hAnsi="Times New Roman" w:eastAsia="Times New Roman" w:cs="Times New Roman"/>
        </w:rPr>
        <w:t xml:space="preserve">«</w:t>
      </w:r>
      <w:r>
        <w:rPr>
          <w:rFonts w:ascii="Times New Roman" w:hAnsi="Times New Roman" w:eastAsia="Times New Roman" w:cs="Times New Roman"/>
        </w:rPr>
        <w:t xml:space="preserve">Региональный центр переподготовки кадров управления</w:t>
      </w:r>
      <w:r>
        <w:rPr>
          <w:rFonts w:ascii="Times New Roman" w:hAnsi="Times New Roman" w:eastAsia="Times New Roman" w:cs="Times New Roman"/>
        </w:rPr>
        <w:t xml:space="preserve">»</w:t>
      </w:r>
      <w:r>
        <w:rPr>
          <w:lang w:val="en-US"/>
        </w:rPr>
        <w:t xml:space="preserve"> </w:t>
      </w:r>
      <w:r>
        <w:rPr>
          <w:rFonts w:ascii="Times New Roman" w:hAnsi="Times New Roman" w:eastAsia="Calibri" w:cs="Times New Roman"/>
          <w:lang w:eastAsia="ru-RU"/>
        </w:rPr>
        <w:t xml:space="preserve">(далее- Образовательный центр, оператор</w:t>
      </w:r>
      <w:r>
        <w:rPr>
          <w:rFonts w:ascii="Times New Roman" w:hAnsi="Times New Roman" w:eastAsia="Calibri" w:cs="Times New Roman"/>
          <w:lang w:eastAsia="ru-RU"/>
        </w:rPr>
        <w:t xml:space="preserve">), ИНН: 4825118804</w:t>
      </w:r>
      <w:r>
        <w:rPr>
          <w:rFonts w:ascii="Times New Roman" w:hAnsi="Times New Roman" w:eastAsia="Calibri" w:cs="Times New Roman"/>
          <w:lang w:eastAsia="ru-RU"/>
        </w:rPr>
        <w:t xml:space="preserve">, ОГРН: 1164827065754</w:t>
      </w:r>
      <w:r>
        <w:rPr>
          <w:rFonts w:ascii="Times New Roman" w:hAnsi="Times New Roman" w:eastAsia="Calibri" w:cs="Times New Roman"/>
          <w:lang w:eastAsia="ru-RU"/>
        </w:rPr>
        <w:t xml:space="preserve">, Юридический адрес: 398002, Липецкая область, г. Липецк,</w:t>
      </w:r>
      <w:r>
        <w:rPr>
          <w:rFonts w:ascii="Times New Roman" w:hAnsi="Times New Roman" w:eastAsia="Calibri" w:cs="Times New Roman"/>
          <w:lang w:eastAsia="ru-RU"/>
        </w:rPr>
        <w:t xml:space="preserve"> ул. Балмочных С.Ф., влд 11, сведения об информационных ресурсах оператора: https://</w:t>
      </w:r>
      <w:r>
        <w:rPr>
          <w:rFonts w:ascii="Times New Roman" w:hAnsi="Times New Roman" w:eastAsia="Calibri" w:cs="Times New Roman"/>
          <w:lang w:eastAsia="ru-RU"/>
        </w:rPr>
        <w:t xml:space="preserve">//www.pp48.ru</w:t>
      </w:r>
      <w:r/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с передачей по сетям общего доступа, включая сбор, запись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 (другим организациям), блокирование, удаление, уничтожение следующих персональных данных:</w:t>
      </w:r>
      <w:r>
        <w:rPr>
          <w:rFonts w:ascii="Times New Roman" w:hAnsi="Times New Roman" w:eastAsia="Times New Roman" w:cs="Times New Roman"/>
          <w:color w:val="000000"/>
          <w:lang w:eastAsia="ru-RU"/>
        </w:rPr>
      </w:r>
    </w:p>
    <w:p>
      <w:pPr>
        <w:widowControl w:val="false"/>
        <w:pBdr/>
        <w:spacing w:before="0" w:beforeAutospacing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 фамилия, имя, отчество (при наличии), дата рождения, гражданство;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0" w:beforeAutospacing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 прежние фамилия, имя, отчество, дата, место и причина изменения (в случае изменения);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0" w:beforeAutospacing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  образование (сведения документа об образовании, серия, номер, дата выдачи, уровень образования);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0" w:beforeAutospacing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 адрес регистрации по месту жительства;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0" w:beforeAutospacing="0"/>
        <w:ind w:firstLine="53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 сведения документа, удостоверяющего личность (серия, номер, кем и когда выдан);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0" w:beforeAutospacing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 номер телефона, адрес электронной почты;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0" w:beforeAutospacing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 номер страхового свидетельства обязательного пенсионного страхования.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22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К моим персональным данным имеют доступ: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0" w:beforeAutospacing="0"/>
        <w:ind w:firstLine="5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 уполномоченные сотрудники Образовательного ц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ентра;</w:t>
      </w:r>
      <w:r>
        <w:rPr>
          <w:rFonts w:ascii="Times New Roman" w:hAnsi="Times New Roman" w:eastAsia="Times New Roman" w:cs="Times New Roman"/>
          <w:color w:val="000000"/>
          <w:lang w:eastAsia="ru-RU"/>
        </w:rPr>
      </w:r>
    </w:p>
    <w:p>
      <w:pPr>
        <w:widowControl w:val="false"/>
        <w:pBdr/>
        <w:spacing w:before="0" w:beforeAutospacing="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- сотрудники сторонних компаний и организаций, которым могут передаваться персональные данные с целью исполнения условий договора.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22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Я соглас</w:t>
      </w:r>
      <w:r>
        <w:rPr>
          <w:rFonts w:ascii="Times New Roman" w:hAnsi="Times New Roman" w:eastAsia="Times New Roman" w:cs="Times New Roman"/>
          <w:lang w:eastAsia="ru-RU"/>
        </w:rPr>
        <w:t xml:space="preserve">ен(а), что мои персональные данные в предусмотренных законодательством РФ пределах могут передаваться представителям государственных органов РФ, органов местного самоуправления и др. для решения задач, связанных с обучением в Образовательном центре.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220"/>
        <w:ind w:firstLine="540"/>
        <w:jc w:val="both"/>
        <w:rPr>
          <w:rFonts w:ascii="Times New Roman" w:hAnsi="Times New Roman" w:eastAsia="Times New Roman" w:cs="Times New Roman"/>
          <w:strike/>
          <w:color w:val="00b0f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Условия и запреты на обработку вышеуказанных персональных данных (ч.9 ст.10.1 </w:t>
      </w:r>
      <w:r>
        <w:rPr>
          <w:rFonts w:ascii="Times New Roman" w:hAnsi="Times New Roman" w:eastAsia="Times New Roman" w:cs="Times New Roman"/>
          <w:lang w:eastAsia="ru-RU"/>
        </w:rPr>
        <w:t xml:space="preserve">Федерального закона от 27.07.2006 №152-ФЗ «О персональных данных»):</w:t>
      </w:r>
      <w:r>
        <w:rPr>
          <w:rFonts w:ascii="Times New Roman" w:hAnsi="Times New Roman" w:eastAsia="Times New Roman" w:cs="Times New Roman"/>
          <w:strike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trike/>
          <w:color w:val="00b0f0"/>
          <w:lang w:eastAsia="ru-RU"/>
        </w:rPr>
      </w:r>
    </w:p>
    <w:p>
      <w:pPr>
        <w:widowControl w:val="false"/>
        <w:pBdr/>
        <w:spacing w:before="22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не устанавливаю.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22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Условия, при которых полученные персональные данные могут передаваться оператором, осуществляю</w:t>
      </w:r>
      <w:r>
        <w:rPr>
          <w:rFonts w:ascii="Times New Roman" w:hAnsi="Times New Roman" w:eastAsia="Times New Roman" w:cs="Times New Roman"/>
          <w:lang w:eastAsia="ru-RU"/>
        </w:rPr>
        <w:t xml:space="preserve">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220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не устанавливаю.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3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3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Я ознакомлен с тем, что: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3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Style w:val="761"/>
        <w:widowControl w:val="false"/>
        <w:numPr>
          <w:ilvl w:val="0"/>
          <w:numId w:val="34"/>
        </w:numPr>
        <w:pBdr/>
        <w:spacing/>
        <w:ind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периода обучения в Образовательном центре, а также после прекращения обучения в течение срока хранения личного дела, установленного законодательством РФ;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Style w:val="761"/>
        <w:widowControl w:val="false"/>
        <w:pBdr/>
        <w:spacing/>
        <w:ind w:left="89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Style w:val="761"/>
        <w:widowControl w:val="false"/>
        <w:numPr>
          <w:ilvl w:val="0"/>
          <w:numId w:val="34"/>
        </w:numPr>
        <w:pBdr/>
        <w:spacing/>
        <w:ind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отзыв моего согласия осуществляется посредством направления в Образовательный центр письменного запроса;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Style w:val="761"/>
        <w:pBdr/>
        <w:spacing/>
        <w:ind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Style w:val="761"/>
        <w:widowControl w:val="false"/>
        <w:numPr>
          <w:ilvl w:val="0"/>
          <w:numId w:val="34"/>
        </w:numPr>
        <w:pBdr/>
        <w:spacing w:before="220"/>
        <w:ind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в случае отзыва согласия на обработку персональных данных оператор вправе продолжить обработку моих персональных данных при наличии следующих оснований: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 w:before="220"/>
        <w:ind w:left="53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без согласия при наличии оснований, указанных в </w:t>
      </w:r>
      <w:hyperlink r:id="rId11" w:tooltip="consultantplus://offline/ref=F6E1FC8917537A410B57D78E6C5D547CDB3D09009A28A4A2EDE3BC3F33C35A6EE71B24A3233F43DEF51B8BE665D212159D8B16ADB7E1026D1DRFG" w:history="1">
        <w:r>
          <w:rPr>
            <w:rFonts w:ascii="Times New Roman" w:hAnsi="Times New Roman" w:eastAsia="Times New Roman" w:cs="Times New Roman"/>
            <w:lang w:eastAsia="ru-RU"/>
          </w:rPr>
          <w:t xml:space="preserve">п. п. 2</w:t>
        </w:r>
      </w:hyperlink>
      <w:r>
        <w:rPr>
          <w:rFonts w:ascii="Times New Roman" w:hAnsi="Times New Roman" w:eastAsia="Times New Roman" w:cs="Times New Roman"/>
          <w:lang w:eastAsia="ru-RU"/>
        </w:rPr>
        <w:t xml:space="preserve"> - </w:t>
      </w:r>
      <w:hyperlink r:id="rId12" w:tooltip="consultantplus://offline/ref=F6E1FC8917537A410B57D78E6C5D547CDB3D09009A28A4A2EDE3BC3F33C35A6EE71B24A3233F43DEFC1B8BE665D212159D8B16ADB7E1026D1DRFG" w:history="1">
        <w:r>
          <w:rPr>
            <w:rFonts w:ascii="Times New Roman" w:hAnsi="Times New Roman" w:eastAsia="Times New Roman" w:cs="Times New Roman"/>
            <w:lang w:eastAsia="ru-RU"/>
          </w:rPr>
          <w:t xml:space="preserve">11 ч. 1 ст. 6</w:t>
        </w:r>
      </w:hyperlink>
      <w:r>
        <w:rPr>
          <w:rFonts w:ascii="Times New Roman" w:hAnsi="Times New Roman" w:eastAsia="Times New Roman" w:cs="Times New Roman"/>
          <w:lang w:eastAsia="ru-RU"/>
        </w:rPr>
        <w:t xml:space="preserve">, </w:t>
      </w:r>
      <w:hyperlink r:id="rId13" w:tooltip="consultantplus://offline/ref=F6E1FC8917537A410B57D78E6C5D547CDB3D09009A28A4A2EDE3BC3F33C35A6EE71B24A3233F41D0F71B8BE665D212159D8B16ADB7E1026D1DRFG" w:history="1">
        <w:r>
          <w:rPr>
            <w:rFonts w:ascii="Times New Roman" w:hAnsi="Times New Roman" w:eastAsia="Times New Roman" w:cs="Times New Roman"/>
            <w:lang w:eastAsia="ru-RU"/>
          </w:rPr>
          <w:t xml:space="preserve">ч. 2 ст. 10</w:t>
        </w:r>
      </w:hyperlink>
      <w:r>
        <w:rPr>
          <w:rFonts w:ascii="Times New Roman" w:hAnsi="Times New Roman" w:eastAsia="Times New Roman" w:cs="Times New Roman"/>
          <w:lang w:eastAsia="ru-RU"/>
        </w:rPr>
        <w:t xml:space="preserve"> и </w:t>
      </w:r>
      <w:hyperlink r:id="rId14" w:tooltip="consultantplus://offline/ref=F6E1FC8917537A410B57D78E6C5D547CDB3D09009A28A4A2EDE3BC3F33C35A6EE71B24A020341589B145D2B628991E148A9717AF1AR9G" w:history="1">
        <w:r>
          <w:rPr>
            <w:rFonts w:ascii="Times New Roman" w:hAnsi="Times New Roman" w:eastAsia="Times New Roman" w:cs="Times New Roman"/>
            <w:lang w:eastAsia="ru-RU"/>
          </w:rPr>
          <w:t xml:space="preserve">ч. 2 ст. 11</w:t>
        </w:r>
      </w:hyperlink>
      <w:r>
        <w:rPr>
          <w:rFonts w:ascii="Times New Roman" w:hAnsi="Times New Roman" w:eastAsia="Times New Roman" w:cs="Times New Roman"/>
          <w:lang w:eastAsia="ru-RU"/>
        </w:rPr>
        <w:t xml:space="preserve"> Федерального</w:t>
      </w:r>
      <w:r>
        <w:rPr>
          <w:rFonts w:ascii="Times New Roman" w:hAnsi="Times New Roman" w:eastAsia="Times New Roman" w:cs="Times New Roman"/>
          <w:lang w:eastAsia="ru-RU"/>
        </w:rPr>
        <w:t xml:space="preserve"> закона от 27.07.2006 №</w:t>
      </w:r>
      <w:r>
        <w:rPr>
          <w:rFonts w:ascii="Times New Roman" w:hAnsi="Times New Roman" w:eastAsia="Times New Roman" w:cs="Times New Roman"/>
          <w:lang w:eastAsia="ru-RU"/>
        </w:rPr>
        <w:t xml:space="preserve">152 </w:t>
      </w:r>
      <w:r>
        <w:rPr>
          <w:rFonts w:ascii="Times New Roman" w:hAnsi="Times New Roman" w:eastAsia="Times New Roman" w:cs="Times New Roman"/>
          <w:lang w:eastAsia="ru-RU"/>
        </w:rPr>
        <w:t xml:space="preserve">«О персональных данных»</w:t>
      </w:r>
      <w:r>
        <w:rPr>
          <w:rFonts w:ascii="Times New Roman" w:hAnsi="Times New Roman" w:eastAsia="Times New Roman" w:cs="Times New Roman"/>
          <w:strike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Дата начала обработки персональных данных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: _________________</w:t>
      </w:r>
      <w:r>
        <w:rPr>
          <w:rFonts w:ascii="Times New Roman" w:hAnsi="Times New Roman" w:eastAsia="Times New Roman" w:cs="Times New Roman"/>
          <w:color w:val="000000"/>
          <w:lang w:eastAsia="ru-RU"/>
        </w:rPr>
      </w:r>
    </w:p>
    <w:p>
      <w:pPr>
        <w:widowControl w:val="false"/>
        <w:pBdr/>
        <w:spacing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                  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      --------------------------------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widowControl w:val="false"/>
        <w:pBdr/>
        <w:spacing/>
        <w:ind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                 (подпись)</w:t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erReference w:type="default" r:id="rId9"/>
      <w:footnotePr/>
      <w:endnotePr/>
      <w:type w:val="nextPage"/>
      <w:pgSz w:h="16838" w:orient="landscape" w:w="11906"/>
      <w:pgMar w:top="851" w:right="850" w:bottom="1134" w:left="1701" w:header="708" w:footer="708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Liberation Mono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1486576"/>
      <w:docPartObj>
        <w:docPartGallery w:val="Page Numbers (Bottom of Page)"/>
        <w:docPartUnique w:val="true"/>
      </w:docPartObj>
      <w:rPr>
        <w:rFonts w:ascii="Times New Roman" w:hAnsi="Times New Roman" w:cs="Times New Roman"/>
        <w:sz w:val="20"/>
        <w:szCs w:val="20"/>
      </w:rPr>
    </w:sdtPr>
    <w:sdtContent>
      <w:p>
        <w:pPr>
          <w:pStyle w:val="774"/>
          <w:pBdr/>
          <w:spacing/>
          <w:ind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</w:r>
      </w:p>
    </w:sdtContent>
  </w:sdt>
  <w:p>
    <w:pPr>
      <w:pStyle w:val="774"/>
      <w:pBdr/>
      <w:spacing/>
      <w:ind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</w:r>
    <w:r>
      <w:rPr>
        <w:rFonts w:ascii="Times New Roman" w:hAnsi="Times New Roman" w:cs="Times New Roman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2">
    <w:styleLink w:val="762"/>
    <w:lvl w:ilvl="0">
      <w:isLgl w:val="false"/>
      <w:lvlJc w:val="left"/>
      <w:lvlText w:val="%1."/>
      <w:numFmt w:val="decimal"/>
      <w:pPr>
        <w:pBdr/>
        <w:spacing/>
        <w:ind w:hanging="360" w:left="720"/>
      </w:pPr>
      <w:pStyle w:val="762"/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3">
    <w:styleLink w:val="767"/>
    <w:lvl w:ilvl="0">
      <w:isLgl w:val="false"/>
      <w:lvlJc w:val="left"/>
      <w:lvlText w:val="%1."/>
      <w:numFmt w:val="decimal"/>
      <w:pPr>
        <w:pBdr/>
        <w:spacing/>
        <w:ind w:hanging="340" w:left="340"/>
      </w:pPr>
      <w:pStyle w:val="767"/>
      <w:rPr>
        <w:rFonts w:hint="default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>
        <w:rFonts w:hint="default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>
        <w:rFonts w:hint="default"/>
      </w:rPr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>
        <w:rFonts w:hint="default"/>
      </w:rPr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>
        <w:rFonts w:hint="default"/>
      </w:rPr>
      <w:start w:val="1"/>
      <w:suff w:val="space"/>
    </w:lvl>
  </w:abstractNum>
  <w:abstractNum w:abstractNumId="4">
    <w:styleLink w:val="770"/>
    <w:lvl w:ilvl="0">
      <w:isLgl w:val="false"/>
      <w:lvlJc w:val="left"/>
      <w:lvlText w:val="%1"/>
      <w:numFmt w:val="decimal"/>
      <w:pPr>
        <w:pBdr/>
        <w:spacing/>
        <w:ind w:hanging="360" w:left="360"/>
      </w:pPr>
      <w:pStyle w:val="770"/>
      <w:rPr>
        <w:rFonts w:hint="default"/>
      </w:rPr>
      <w:start w:val="6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0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0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74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44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7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48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82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520"/>
      </w:pPr>
      <w:rPr>
        <w:rFonts w:hint="default"/>
      </w:rPr>
      <w:start w:val="1"/>
      <w:suff w:val="space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abstractNum w:abstractNumId="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8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0">
    <w:lvl w:ilvl="0">
      <w:isLgl w:val="false"/>
      <w:lvlJc w:val="left"/>
      <w:lvlText w:val=""/>
      <w:numFmt w:val="bullet"/>
      <w:pPr>
        <w:pBdr/>
        <w:spacing/>
        <w:ind w:hanging="360" w:left="144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16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88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60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32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04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76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48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200"/>
      </w:pPr>
      <w:rPr>
        <w:rFonts w:hint="default" w:ascii="Wingdings" w:hAnsi="Wingdings"/>
      </w:rPr>
      <w:start w:val="1"/>
      <w:suff w:val="space"/>
    </w:lvl>
  </w:abstractNum>
  <w:abstractNum w:abstractNumId="11">
    <w:lvl w:ilvl="0">
      <w:isLgl w:val="false"/>
      <w:lvlJc w:val="left"/>
      <w:lvlText w:val="%1"/>
      <w:numFmt w:val="decimal"/>
      <w:pPr>
        <w:pBdr/>
        <w:spacing/>
        <w:ind w:hanging="600" w:left="600"/>
      </w:pPr>
      <w:rPr>
        <w:rFonts w:hint="default"/>
      </w:rPr>
      <w:start w:val="5"/>
      <w:suff w:val="space"/>
    </w:lvl>
    <w:lvl w:ilvl="1">
      <w:isLgl w:val="false"/>
      <w:lvlJc w:val="left"/>
      <w:lvlText w:val="%1.%2"/>
      <w:numFmt w:val="decimal"/>
      <w:pPr>
        <w:pBdr/>
        <w:spacing/>
        <w:ind w:hanging="600" w:left="600"/>
      </w:pPr>
      <w:rPr>
        <w:rFonts w:hint="default"/>
      </w:rPr>
      <w:start w:val="10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</w:rPr>
      <w:start w:val="1"/>
      <w:suff w:val="space"/>
    </w:lvl>
  </w:abstractNum>
  <w:abstractNum w:abstractNumId="12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4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13">
    <w:lvl w:ilvl="0">
      <w:isLgl w:val="false"/>
      <w:lvlJc w:val="left"/>
      <w:lvlText w:val=""/>
      <w:numFmt w:val="bullet"/>
      <w:pPr>
        <w:pBdr/>
        <w:spacing/>
        <w:ind w:firstLine="709" w:left="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4">
    <w:lvl w:ilvl="0">
      <w:isLgl w:val="false"/>
      <w:lvlJc w:val="left"/>
      <w:lvlText w:val="%1)"/>
      <w:numFmt w:val="decimal"/>
      <w:pPr>
        <w:pBdr/>
        <w:spacing/>
        <w:ind w:hanging="360" w:left="899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61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33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05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77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49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21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93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659"/>
      </w:pPr>
      <w:rPr/>
      <w:start w:val="1"/>
      <w:suff w:val="space"/>
    </w:lvl>
  </w:abstractNum>
  <w:abstractNum w:abstractNumId="1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6">
    <w:styleLink w:val="768"/>
    <w:lvl w:ilvl="0">
      <w:isLgl w:val="false"/>
      <w:lvlJc w:val="left"/>
      <w:lvlText w:val="%1."/>
      <w:numFmt w:val="decimal"/>
      <w:pPr>
        <w:pBdr/>
        <w:spacing/>
        <w:ind w:hanging="340" w:left="340"/>
      </w:pPr>
      <w:pStyle w:val="768"/>
      <w:rPr>
        <w:rFonts w:hint="default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>
        <w:rFonts w:hint="default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>
        <w:rFonts w:hint="default"/>
      </w:rPr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>
        <w:rFonts w:hint="default"/>
      </w:rPr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>
        <w:rFonts w:hint="default"/>
      </w:rPr>
      <w:start w:val="1"/>
      <w:suff w:val="space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40" w:left="340"/>
      </w:pPr>
      <w:rPr>
        <w:rFonts w:hint="default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>
        <w:rFonts w:hint="default"/>
      </w:rPr>
      <w:start w:val="1"/>
      <w:suff w:val="space"/>
    </w:lvl>
    <w:lvl w:ilvl="2">
      <w:isLgl w:val="false"/>
      <w:lvlJc w:val="left"/>
      <w:lvlText w:val="5.%2.%3."/>
      <w:numFmt w:val="decimal"/>
      <w:pPr>
        <w:pBdr/>
        <w:spacing/>
        <w:ind w:hanging="504" w:left="1224"/>
      </w:pPr>
      <w:rPr>
        <w:rFonts w:hint="default"/>
      </w:rPr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>
        <w:rFonts w:hint="default"/>
      </w:rPr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>
        <w:rFonts w:hint="default"/>
      </w:rPr>
      <w:start w:val="1"/>
      <w:suff w:val="space"/>
    </w:lvl>
  </w:abstractNum>
  <w:abstractNum w:abstractNumId="18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9">
    <w:lvl w:ilvl="0">
      <w:isLgl w:val="false"/>
      <w:lvlJc w:val="left"/>
      <w:lvlText w:val=""/>
      <w:numFmt w:val="bullet"/>
      <w:pPr>
        <w:pBdr/>
        <w:spacing/>
        <w:ind w:firstLine="709" w:left="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0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4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21">
    <w:lvl w:ilvl="0">
      <w:isLgl w:val="false"/>
      <w:lvlJc w:val="left"/>
      <w:lvlText w:val="%1"/>
      <w:numFmt w:val="decimal"/>
      <w:pPr>
        <w:pBdr/>
        <w:spacing/>
        <w:ind w:hanging="360" w:left="720"/>
      </w:pPr>
      <w:rPr>
        <w:rFonts w:hint="default"/>
      </w:rPr>
      <w:start w:val="1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22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4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23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24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8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360"/>
      </w:pPr>
      <w:rPr>
        <w:rFonts w:hint="default"/>
      </w:rPr>
      <w:start w:val="6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</w:rPr>
      <w:start w:val="1"/>
      <w:suff w:val="space"/>
    </w:lvl>
  </w:abstractNum>
  <w:abstractNum w:abstractNumId="25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2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7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6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0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0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74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44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7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48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82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520"/>
      </w:pPr>
      <w:rPr>
        <w:rFonts w:hint="default"/>
      </w:rPr>
      <w:start w:val="1"/>
      <w:suff w:val="space"/>
    </w:lvl>
  </w:abstractNum>
  <w:abstractNum w:abstractNumId="28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2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29">
    <w:styleLink w:val="766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766"/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/>
      <w:start w:val="1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/>
      <w:start w:val="1"/>
      <w:suff w:val="space"/>
    </w:lvl>
  </w:abstractNum>
  <w:abstractNum w:abstractNumId="30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31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144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180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252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28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360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396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4680"/>
      </w:pPr>
      <w:rPr>
        <w:rFonts w:hint="default"/>
      </w:rPr>
      <w:start w:val="1"/>
      <w:suff w:val="space"/>
    </w:lvl>
  </w:abstractNum>
  <w:abstractNum w:abstractNumId="32">
    <w:styleLink w:val="763"/>
    <w:lvl w:ilvl="0">
      <w:isLgl w:val="false"/>
      <w:lvlJc w:val="left"/>
      <w:lvlText w:val="%1."/>
      <w:numFmt w:val="decimal"/>
      <w:pPr>
        <w:pBdr/>
        <w:spacing/>
        <w:ind w:hanging="360" w:left="720"/>
      </w:pPr>
      <w:pStyle w:val="763"/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33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34">
    <w:styleLink w:val="769"/>
    <w:lvl w:ilvl="0">
      <w:isLgl w:val="false"/>
      <w:lvlJc w:val="left"/>
      <w:lvlText w:val="%1."/>
      <w:numFmt w:val="decimal"/>
      <w:pPr>
        <w:pBdr/>
        <w:spacing/>
        <w:ind w:hanging="340" w:left="340"/>
      </w:pPr>
      <w:pStyle w:val="769"/>
      <w:rPr>
        <w:rFonts w:hint="default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>
        <w:rFonts w:hint="default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>
        <w:rFonts w:hint="default"/>
      </w:rPr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>
        <w:rFonts w:hint="default"/>
      </w:rPr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>
        <w:rFonts w:hint="default"/>
      </w:rPr>
      <w:start w:val="1"/>
      <w:suff w:val="space"/>
    </w:lvl>
  </w:abstractNum>
  <w:abstractNum w:abstractNumId="35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5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360"/>
      </w:pPr>
      <w:rPr>
        <w:rFonts w:hint="default"/>
      </w:rPr>
      <w:start w:val="6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</w:rPr>
      <w:start w:val="1"/>
      <w:suff w:val="space"/>
    </w:lvl>
  </w:abstractNum>
  <w:num w:numId="1">
    <w:abstractNumId w:val="17"/>
  </w:num>
  <w:num w:numId="2">
    <w:abstractNumId w:val="9"/>
  </w:num>
  <w:num w:numId="3">
    <w:abstractNumId w:val="33"/>
  </w:num>
  <w:num w:numId="4">
    <w:abstractNumId w:val="2"/>
  </w:num>
  <w:num w:numId="5">
    <w:abstractNumId w:val="32"/>
  </w:num>
  <w:num w:numId="6">
    <w:abstractNumId w:val="30"/>
  </w:num>
  <w:num w:numId="7">
    <w:abstractNumId w:val="8"/>
  </w:num>
  <w:num w:numId="8">
    <w:abstractNumId w:val="25"/>
  </w:num>
  <w:num w:numId="9">
    <w:abstractNumId w:val="23"/>
  </w:num>
  <w:num w:numId="10">
    <w:abstractNumId w:val="31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9"/>
  </w:num>
  <w:num w:numId="20">
    <w:abstractNumId w:val="20"/>
  </w:num>
  <w:num w:numId="21">
    <w:abstractNumId w:val="29"/>
  </w:num>
  <w:num w:numId="22">
    <w:abstractNumId w:val="3"/>
  </w:num>
  <w:num w:numId="23">
    <w:abstractNumId w:val="16"/>
  </w:num>
  <w:num w:numId="24">
    <w:abstractNumId w:val="34"/>
  </w:num>
  <w:num w:numId="25">
    <w:abstractNumId w:val="11"/>
  </w:num>
  <w:num w:numId="26">
    <w:abstractNumId w:val="27"/>
  </w:num>
  <w:num w:numId="27">
    <w:abstractNumId w:val="18"/>
  </w:num>
  <w:num w:numId="28">
    <w:abstractNumId w:val="4"/>
  </w:num>
  <w:num w:numId="29">
    <w:abstractNumId w:val="28"/>
  </w:num>
  <w:num w:numId="30">
    <w:abstractNumId w:val="35"/>
  </w:num>
  <w:num w:numId="31">
    <w:abstractNumId w:val="13"/>
  </w:num>
  <w:num w:numId="32">
    <w:abstractNumId w:val="26"/>
  </w:num>
  <w:num w:numId="33">
    <w:abstractNumId w:val="21"/>
  </w:num>
  <w:num w:numId="34">
    <w:abstractNumId w:val="14"/>
  </w:num>
  <w:num w:numId="35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50"/>
    <w:next w:val="75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53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50"/>
    <w:next w:val="75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53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50"/>
    <w:next w:val="75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53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3"/>
    <w:link w:val="75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53"/>
    <w:link w:val="75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0"/>
    <w:next w:val="75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3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0"/>
    <w:next w:val="75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3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0"/>
    <w:next w:val="75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3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0"/>
    <w:next w:val="75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3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50"/>
    <w:next w:val="75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53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50"/>
    <w:next w:val="75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53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50"/>
    <w:next w:val="75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50"/>
    <w:next w:val="75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53"/>
    <w:link w:val="772"/>
    <w:uiPriority w:val="99"/>
    <w:pPr>
      <w:pBdr/>
      <w:spacing/>
      <w:ind/>
    </w:pPr>
  </w:style>
  <w:style w:type="character" w:styleId="45">
    <w:name w:val="Footer Char"/>
    <w:basedOn w:val="753"/>
    <w:link w:val="774"/>
    <w:uiPriority w:val="99"/>
    <w:pPr>
      <w:pBdr/>
      <w:spacing/>
      <w:ind/>
    </w:pPr>
  </w:style>
  <w:style w:type="paragraph" w:styleId="46">
    <w:name w:val="Caption"/>
    <w:basedOn w:val="750"/>
    <w:next w:val="75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4"/>
    <w:uiPriority w:val="99"/>
    <w:pPr>
      <w:pBdr/>
      <w:spacing/>
      <w:ind/>
    </w:pPr>
  </w:style>
  <w:style w:type="table" w:styleId="48">
    <w:name w:val="Table Grid"/>
    <w:basedOn w:val="754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75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5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5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5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5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5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5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5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5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5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5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5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75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53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5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53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50"/>
    <w:next w:val="75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50"/>
    <w:next w:val="75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50"/>
    <w:next w:val="75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50"/>
    <w:next w:val="75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50"/>
    <w:next w:val="75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50"/>
    <w:next w:val="75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50"/>
    <w:next w:val="75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50"/>
    <w:next w:val="75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50"/>
    <w:next w:val="75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50"/>
    <w:next w:val="750"/>
    <w:uiPriority w:val="99"/>
    <w:unhideWhenUsed/>
    <w:pPr>
      <w:pBdr/>
      <w:spacing w:after="0" w:afterAutospacing="0"/>
      <w:ind/>
    </w:pPr>
  </w:style>
  <w:style w:type="paragraph" w:styleId="750" w:default="1">
    <w:name w:val="Normal"/>
    <w:qFormat/>
    <w:pPr>
      <w:pBdr/>
      <w:spacing/>
      <w:ind/>
    </w:pPr>
  </w:style>
  <w:style w:type="paragraph" w:styleId="751">
    <w:name w:val="Heading 4"/>
    <w:basedOn w:val="750"/>
    <w:link w:val="756"/>
    <w:uiPriority w:val="9"/>
    <w:qFormat/>
    <w:pPr>
      <w:pBdr/>
      <w:spacing w:after="100" w:afterAutospacing="1" w:before="100" w:beforeAutospacing="1"/>
      <w:ind/>
      <w:outlineLvl w:val="3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52">
    <w:name w:val="Heading 5"/>
    <w:basedOn w:val="750"/>
    <w:link w:val="757"/>
    <w:uiPriority w:val="9"/>
    <w:qFormat/>
    <w:pPr>
      <w:pBdr/>
      <w:spacing w:after="100" w:afterAutospacing="1" w:before="100" w:beforeAutospacing="1"/>
      <w:ind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753" w:default="1">
    <w:name w:val="Default Paragraph Font"/>
    <w:uiPriority w:val="1"/>
    <w:semiHidden/>
    <w:unhideWhenUsed/>
    <w:pPr>
      <w:pBdr/>
      <w:spacing/>
      <w:ind/>
    </w:pPr>
  </w:style>
  <w:style w:type="table" w:styleId="75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55" w:default="1">
    <w:name w:val="No List"/>
    <w:uiPriority w:val="99"/>
    <w:semiHidden/>
    <w:unhideWhenUsed/>
    <w:pPr>
      <w:pBdr/>
      <w:spacing/>
      <w:ind/>
    </w:pPr>
  </w:style>
  <w:style w:type="character" w:styleId="756" w:customStyle="1">
    <w:name w:val="Заголовок 4 Знак"/>
    <w:basedOn w:val="753"/>
    <w:link w:val="751"/>
    <w:uiPriority w:val="9"/>
    <w:pPr>
      <w:pBdr/>
      <w:spacing/>
      <w:ind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757" w:customStyle="1">
    <w:name w:val="Заголовок 5 Знак"/>
    <w:basedOn w:val="753"/>
    <w:link w:val="752"/>
    <w:uiPriority w:val="9"/>
    <w:pPr>
      <w:pBdr/>
      <w:spacing/>
      <w:ind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758">
    <w:name w:val="Strong"/>
    <w:basedOn w:val="753"/>
    <w:uiPriority w:val="22"/>
    <w:qFormat/>
    <w:pPr>
      <w:pBdr/>
      <w:spacing/>
      <w:ind/>
    </w:pPr>
    <w:rPr>
      <w:b/>
      <w:bCs/>
    </w:rPr>
  </w:style>
  <w:style w:type="character" w:styleId="759" w:customStyle="1">
    <w:name w:val="apple-converted-space"/>
    <w:basedOn w:val="753"/>
    <w:pPr>
      <w:pBdr/>
      <w:spacing/>
      <w:ind/>
    </w:pPr>
  </w:style>
  <w:style w:type="character" w:styleId="760" w:customStyle="1">
    <w:name w:val="link"/>
    <w:basedOn w:val="753"/>
    <w:pPr>
      <w:pBdr/>
      <w:spacing/>
      <w:ind/>
    </w:pPr>
  </w:style>
  <w:style w:type="paragraph" w:styleId="761">
    <w:name w:val="List Paragraph"/>
    <w:basedOn w:val="750"/>
    <w:uiPriority w:val="34"/>
    <w:qFormat/>
    <w:pPr>
      <w:pBdr/>
      <w:spacing/>
      <w:ind w:left="720"/>
      <w:contextualSpacing w:val="true"/>
    </w:pPr>
  </w:style>
  <w:style w:type="numbering" w:styleId="762" w:customStyle="1">
    <w:name w:val="Текущий список1"/>
    <w:uiPriority w:val="99"/>
    <w:pPr>
      <w:numPr>
        <w:ilvl w:val="0"/>
        <w:numId w:val="4"/>
      </w:numPr>
      <w:pBdr/>
      <w:spacing/>
      <w:ind/>
    </w:pPr>
  </w:style>
  <w:style w:type="numbering" w:styleId="763" w:customStyle="1">
    <w:name w:val="Текущий список2"/>
    <w:uiPriority w:val="99"/>
    <w:pPr>
      <w:numPr>
        <w:ilvl w:val="0"/>
        <w:numId w:val="5"/>
      </w:numPr>
      <w:pBdr/>
      <w:spacing/>
      <w:ind/>
    </w:pPr>
  </w:style>
  <w:style w:type="character" w:styleId="764">
    <w:name w:val="Hyperlink"/>
    <w:basedOn w:val="75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765" w:customStyle="1">
    <w:name w:val="Неразрешенное упоминание1"/>
    <w:basedOn w:val="75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  <w:style w:type="numbering" w:styleId="766" w:customStyle="1">
    <w:name w:val="Текущий список3"/>
    <w:uiPriority w:val="99"/>
    <w:pPr>
      <w:numPr>
        <w:ilvl w:val="0"/>
        <w:numId w:val="21"/>
      </w:numPr>
      <w:pBdr/>
      <w:spacing/>
      <w:ind/>
    </w:pPr>
  </w:style>
  <w:style w:type="numbering" w:styleId="767" w:customStyle="1">
    <w:name w:val="Текущий список4"/>
    <w:uiPriority w:val="99"/>
    <w:pPr>
      <w:numPr>
        <w:ilvl w:val="0"/>
        <w:numId w:val="22"/>
      </w:numPr>
      <w:pBdr/>
      <w:spacing/>
      <w:ind/>
    </w:pPr>
  </w:style>
  <w:style w:type="numbering" w:styleId="768" w:customStyle="1">
    <w:name w:val="Текущий список5"/>
    <w:uiPriority w:val="99"/>
    <w:pPr>
      <w:numPr>
        <w:ilvl w:val="0"/>
        <w:numId w:val="23"/>
      </w:numPr>
      <w:pBdr/>
      <w:spacing/>
      <w:ind/>
    </w:pPr>
  </w:style>
  <w:style w:type="numbering" w:styleId="769" w:customStyle="1">
    <w:name w:val="Текущий список6"/>
    <w:uiPriority w:val="99"/>
    <w:pPr>
      <w:numPr>
        <w:ilvl w:val="0"/>
        <w:numId w:val="24"/>
      </w:numPr>
      <w:pBdr/>
      <w:spacing/>
      <w:ind/>
    </w:pPr>
  </w:style>
  <w:style w:type="numbering" w:styleId="770" w:customStyle="1">
    <w:name w:val="Текущий список7"/>
    <w:uiPriority w:val="99"/>
    <w:pPr>
      <w:numPr>
        <w:ilvl w:val="0"/>
        <w:numId w:val="28"/>
      </w:numPr>
      <w:pBdr/>
      <w:spacing/>
      <w:ind/>
    </w:pPr>
  </w:style>
  <w:style w:type="paragraph" w:styleId="771" w:customStyle="1">
    <w:name w:val="Preformatted Text"/>
    <w:basedOn w:val="750"/>
    <w:pPr>
      <w:widowControl w:val="false"/>
      <w:pBdr/>
      <w:spacing/>
      <w:ind/>
    </w:pPr>
    <w:rPr>
      <w:rFonts w:ascii="Liberation Mono" w:hAnsi="Liberation Mono" w:eastAsia="Times New Roman" w:cs="Liberation Mono"/>
      <w:sz w:val="20"/>
      <w:szCs w:val="20"/>
      <w:lang w:val="en-US" w:eastAsia="zh-CN"/>
    </w:rPr>
  </w:style>
  <w:style w:type="paragraph" w:styleId="772">
    <w:name w:val="Header"/>
    <w:basedOn w:val="750"/>
    <w:link w:val="773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773" w:customStyle="1">
    <w:name w:val="Верхний колонтитул Знак"/>
    <w:basedOn w:val="753"/>
    <w:link w:val="772"/>
    <w:uiPriority w:val="99"/>
    <w:pPr>
      <w:pBdr/>
      <w:spacing/>
      <w:ind/>
    </w:pPr>
  </w:style>
  <w:style w:type="paragraph" w:styleId="774">
    <w:name w:val="Footer"/>
    <w:basedOn w:val="750"/>
    <w:link w:val="775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775" w:customStyle="1">
    <w:name w:val="Нижний колонтитул Знак"/>
    <w:basedOn w:val="753"/>
    <w:link w:val="774"/>
    <w:uiPriority w:val="99"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F6E1FC8917537A410B57D78E6C5D547CDB3D09009A28A4A2EDE3BC3F33C35A6EE71B24A3233F43DEF51B8BE665D212159D8B16ADB7E1026D1DRFG" TargetMode="External"/><Relationship Id="rId12" Type="http://schemas.openxmlformats.org/officeDocument/2006/relationships/hyperlink" Target="consultantplus://offline/ref=F6E1FC8917537A410B57D78E6C5D547CDB3D09009A28A4A2EDE3BC3F33C35A6EE71B24A3233F43DEFC1B8BE665D212159D8B16ADB7E1026D1DRFG" TargetMode="External"/><Relationship Id="rId13" Type="http://schemas.openxmlformats.org/officeDocument/2006/relationships/hyperlink" Target="consultantplus://offline/ref=F6E1FC8917537A410B57D78E6C5D547CDB3D09009A28A4A2EDE3BC3F33C35A6EE71B24A3233F41D0F71B8BE665D212159D8B16ADB7E1026D1DRFG" TargetMode="External"/><Relationship Id="rId14" Type="http://schemas.openxmlformats.org/officeDocument/2006/relationships/hyperlink" Target="consultantplus://offline/ref=F6E1FC8917537A410B57D78E6C5D547CDB3D09009A28A4A2EDE3BC3F33C35A6EE71B24A020341589B145D2B628991E148A9717AF1AR9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C8A9DD-AC92-490A-A6C9-2AC5DCC8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murzhina@mail.ru</dc:creator>
  <cp:keywords/>
  <dc:description/>
  <cp:revision>12</cp:revision>
  <dcterms:created xsi:type="dcterms:W3CDTF">2022-06-29T13:24:00Z</dcterms:created>
  <dcterms:modified xsi:type="dcterms:W3CDTF">2024-02-27T11:40:36Z</dcterms:modified>
</cp:coreProperties>
</file>